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eastAsia" w:ascii="宋体" w:hAnsi="宋体" w:eastAsia="宋体" w:cs="宋体"/>
          <w:color w:val="auto"/>
          <w:sz w:val="36"/>
          <w:szCs w:val="36"/>
          <w:lang w:val="en-US" w:eastAsia="zh-CN"/>
        </w:rPr>
      </w:pPr>
    </w:p>
    <w:p>
      <w:pPr>
        <w:spacing w:after="0"/>
        <w:jc w:val="center"/>
        <w:rPr>
          <w:rFonts w:hint="eastAsia" w:ascii="宋体" w:hAnsi="宋体" w:eastAsia="宋体" w:cs="宋体"/>
          <w:color w:val="auto"/>
          <w:sz w:val="36"/>
          <w:szCs w:val="36"/>
          <w:lang w:val="en-US" w:eastAsia="zh-CN"/>
        </w:rPr>
      </w:pPr>
    </w:p>
    <w:p>
      <w:pPr>
        <w:spacing w:after="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中标华远（北京）认证中心有限公司</w:t>
      </w:r>
    </w:p>
    <w:p>
      <w:pPr>
        <w:spacing w:after="0"/>
        <w:jc w:val="center"/>
        <w:rPr>
          <w:color w:val="auto"/>
          <w:sz w:val="36"/>
          <w:szCs w:val="36"/>
        </w:rPr>
      </w:pPr>
      <w:r>
        <w:rPr>
          <w:rFonts w:ascii="宋体" w:hAnsi="宋体" w:eastAsia="宋体" w:cs="宋体"/>
          <w:color w:val="auto"/>
          <w:sz w:val="36"/>
          <w:szCs w:val="36"/>
        </w:rPr>
        <w:t>体系认证管理文件</w:t>
      </w:r>
    </w:p>
    <w:p>
      <w:pPr>
        <w:spacing w:after="0" w:line="239" w:lineRule="exact"/>
        <w:rPr>
          <w:color w:val="auto"/>
          <w:sz w:val="24"/>
          <w:szCs w:val="24"/>
        </w:rPr>
      </w:pPr>
    </w:p>
    <w:p>
      <w:pPr>
        <w:spacing w:after="0" w:line="239" w:lineRule="auto"/>
        <w:jc w:val="center"/>
        <w:rPr>
          <w:rFonts w:hint="eastAsia" w:eastAsia="黑体"/>
          <w:color w:val="auto"/>
          <w:sz w:val="20"/>
          <w:szCs w:val="20"/>
          <w:highlight w:val="none"/>
          <w:lang w:val="en-US" w:eastAsia="zh-CN"/>
        </w:rPr>
      </w:pPr>
      <w:r>
        <w:rPr>
          <w:rFonts w:hint="eastAsia" w:ascii="黑体" w:hAnsi="黑体" w:eastAsia="黑体" w:cs="黑体"/>
          <w:color w:val="auto"/>
          <w:sz w:val="21"/>
          <w:szCs w:val="21"/>
          <w:highlight w:val="none"/>
          <w:lang w:val="en-US" w:eastAsia="zh-CN"/>
        </w:rPr>
        <w:t xml:space="preserve">                                                                CSHY090206</w:t>
      </w:r>
      <w:r>
        <w:rPr>
          <w:rFonts w:ascii="黑体" w:hAnsi="黑体" w:eastAsia="黑体" w:cs="黑体"/>
          <w:color w:val="auto"/>
          <w:sz w:val="21"/>
          <w:szCs w:val="21"/>
          <w:highlight w:val="none"/>
        </w:rPr>
        <w:t>-201</w:t>
      </w:r>
      <w:r>
        <w:rPr>
          <w:rFonts w:hint="eastAsia" w:ascii="黑体" w:hAnsi="黑体" w:eastAsia="黑体" w:cs="黑体"/>
          <w:color w:val="auto"/>
          <w:sz w:val="21"/>
          <w:szCs w:val="21"/>
          <w:highlight w:val="none"/>
          <w:lang w:val="en-US" w:eastAsia="zh-CN"/>
        </w:rPr>
        <w:t>8</w:t>
      </w:r>
    </w:p>
    <w:p>
      <w:pPr>
        <w:rPr>
          <w:color w:val="auto"/>
          <w:sz w:val="24"/>
          <w:szCs w:val="24"/>
        </w:rPr>
      </w:pPr>
      <w:r>
        <w:rPr>
          <w:color w:val="auto"/>
          <w:sz w:val="24"/>
          <w:szCs w:val="24"/>
        </w:rPr>
        <mc:AlternateContent>
          <mc:Choice Requires="wps">
            <w:drawing>
              <wp:anchor distT="0" distB="0" distL="114300" distR="114300" simplePos="0" relativeHeight="251658240" behindDoc="1" locked="0" layoutInCell="0" allowOverlap="1">
                <wp:simplePos x="0" y="0"/>
                <wp:positionH relativeFrom="column">
                  <wp:posOffset>262255</wp:posOffset>
                </wp:positionH>
                <wp:positionV relativeFrom="paragraph">
                  <wp:posOffset>73025</wp:posOffset>
                </wp:positionV>
                <wp:extent cx="5702300" cy="0"/>
                <wp:effectExtent l="0" t="0" r="0" b="0"/>
                <wp:wrapNone/>
                <wp:docPr id="2" name="Shape 2"/>
                <wp:cNvGraphicFramePr/>
                <a:graphic xmlns:a="http://schemas.openxmlformats.org/drawingml/2006/main">
                  <a:graphicData uri="http://schemas.microsoft.com/office/word/2010/wordprocessingShape">
                    <wps:wsp>
                      <wps:cNvCnPr/>
                      <wps:spPr>
                        <a:xfrm>
                          <a:off x="0" y="0"/>
                          <a:ext cx="5702300" cy="0"/>
                        </a:xfrm>
                        <a:prstGeom prst="line">
                          <a:avLst/>
                        </a:prstGeom>
                        <a:solidFill>
                          <a:srgbClr val="FFFFFF"/>
                        </a:solidFill>
                        <a:ln w="19050">
                          <a:solidFill>
                            <a:srgbClr val="000000"/>
                          </a:solidFill>
                          <a:miter lim="800000"/>
                        </a:ln>
                      </wps:spPr>
                      <wps:bodyPr/>
                    </wps:wsp>
                  </a:graphicData>
                </a:graphic>
              </wp:anchor>
            </w:drawing>
          </mc:Choice>
          <mc:Fallback>
            <w:pict>
              <v:line id="Shape 2" o:spid="_x0000_s1026" o:spt="20" style="position:absolute;left:0pt;margin-left:20.65pt;margin-top:5.75pt;height:0pt;width:449pt;z-index:-251658240;mso-width-relative:page;mso-height-relative:page;" fillcolor="#FFFFFF" filled="t" stroked="t" coordsize="21600,21600" o:allowincell="f" o:gfxdata="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XqdCRtcAAAAIAQAADwAAAAAAAAABACAAAAAiAAAAZHJz&#10;L2Rvd25yZXYueG1sUEsBAhQAFAAAAAgAh07iQLEAPxmTAQAASQMAAA4AAAAAAAAAAQAgAAAAJgEA&#10;AGRycy9lMm9Eb2MueG1sUEsFBgAAAAAGAAYAWQEAACsFAAAAAA==&#10;">
                <v:fill on="t" focussize="0,0"/>
                <v:stroke weight="1.5pt" color="#000000" miterlimit="8" joinstyle="miter"/>
                <v:imagedata o:title=""/>
                <o:lock v:ext="edit" aspectratio="f"/>
              </v:line>
            </w:pict>
          </mc:Fallback>
        </mc:AlternateContent>
      </w:r>
    </w:p>
    <w:p>
      <w:pPr>
        <w:rPr>
          <w:rFonts w:asciiTheme="minorHAnsi" w:hAnsiTheme="minorHAnsi" w:eastAsiaTheme="minorEastAsia" w:cstheme="minorBidi"/>
          <w:color w:val="auto"/>
          <w:sz w:val="24"/>
          <w:szCs w:val="24"/>
        </w:rPr>
      </w:pPr>
    </w:p>
    <w:p>
      <w:pPr>
        <w:rPr>
          <w:rFonts w:asciiTheme="minorHAnsi" w:hAnsiTheme="minorHAnsi" w:eastAsiaTheme="minorEastAsia" w:cstheme="minorBidi"/>
          <w:color w:val="auto"/>
          <w:sz w:val="24"/>
          <w:szCs w:val="24"/>
        </w:rPr>
      </w:pPr>
    </w:p>
    <w:p>
      <w:pPr>
        <w:rPr>
          <w:rFonts w:asciiTheme="minorHAnsi" w:hAnsiTheme="minorHAnsi" w:eastAsiaTheme="minorEastAsia" w:cstheme="minorBidi"/>
          <w:color w:val="auto"/>
          <w:sz w:val="24"/>
          <w:szCs w:val="24"/>
        </w:rPr>
      </w:pPr>
    </w:p>
    <w:p>
      <w:pPr>
        <w:ind w:firstLine="486" w:firstLineChars="0"/>
        <w:jc w:val="left"/>
        <w:rPr>
          <w:rFonts w:asciiTheme="minorHAnsi" w:hAnsiTheme="minorHAnsi" w:eastAsiaTheme="minorEastAsia" w:cstheme="minorBidi"/>
          <w:color w:val="auto"/>
          <w:sz w:val="24"/>
          <w:szCs w:val="24"/>
        </w:rPr>
      </w:pPr>
    </w:p>
    <w:p>
      <w:pPr>
        <w:spacing w:after="0"/>
        <w:jc w:val="center"/>
        <w:rPr>
          <w:rFonts w:ascii="黑体" w:hAnsi="黑体" w:eastAsia="黑体" w:cs="黑体"/>
          <w:color w:val="auto"/>
          <w:sz w:val="28"/>
          <w:szCs w:val="28"/>
        </w:rPr>
      </w:pPr>
      <w:r>
        <w:rPr>
          <w:rFonts w:ascii="黑体" w:hAnsi="黑体" w:eastAsia="黑体" w:cs="黑体"/>
          <w:color w:val="auto"/>
          <w:sz w:val="56"/>
          <w:szCs w:val="56"/>
        </w:rPr>
        <w:t>特殊审核的管理要求</w:t>
      </w:r>
    </w:p>
    <w:p>
      <w:pPr>
        <w:spacing w:after="0"/>
        <w:ind w:left="560"/>
        <w:jc w:val="center"/>
        <w:rPr>
          <w:rFonts w:ascii="黑体" w:hAnsi="黑体" w:eastAsia="黑体" w:cs="黑体"/>
          <w:color w:val="auto"/>
          <w:sz w:val="28"/>
          <w:szCs w:val="28"/>
        </w:rPr>
      </w:pPr>
    </w:p>
    <w:p>
      <w:pPr>
        <w:spacing w:after="0"/>
        <w:ind w:left="560"/>
        <w:jc w:val="center"/>
        <w:rPr>
          <w:rFonts w:ascii="黑体" w:hAnsi="黑体" w:eastAsia="黑体" w:cs="黑体"/>
          <w:color w:val="auto"/>
          <w:sz w:val="28"/>
          <w:szCs w:val="28"/>
        </w:rPr>
      </w:pPr>
    </w:p>
    <w:p>
      <w:pPr>
        <w:spacing w:after="0"/>
        <w:ind w:left="560"/>
        <w:jc w:val="center"/>
        <w:rPr>
          <w:rFonts w:ascii="黑体" w:hAnsi="黑体" w:eastAsia="黑体" w:cs="黑体"/>
          <w:color w:val="auto"/>
          <w:sz w:val="28"/>
          <w:szCs w:val="28"/>
        </w:rPr>
      </w:pPr>
    </w:p>
    <w:p>
      <w:pPr>
        <w:spacing w:after="0"/>
        <w:ind w:left="560"/>
        <w:jc w:val="center"/>
        <w:rPr>
          <w:rFonts w:hint="eastAsia" w:eastAsia="黑体"/>
          <w:color w:val="auto"/>
          <w:sz w:val="20"/>
          <w:szCs w:val="20"/>
          <w:lang w:val="en-US" w:eastAsia="zh-CN"/>
        </w:rPr>
      </w:pPr>
      <w:r>
        <w:rPr>
          <w:rFonts w:ascii="黑体" w:hAnsi="黑体" w:eastAsia="黑体" w:cs="黑体"/>
          <w:color w:val="auto"/>
          <w:sz w:val="28"/>
          <w:szCs w:val="28"/>
        </w:rPr>
        <w:t>编制：</w:t>
      </w:r>
      <w:r>
        <w:rPr>
          <w:rFonts w:hint="eastAsia" w:ascii="黑体" w:hAnsi="黑体" w:eastAsia="黑体" w:cs="黑体"/>
          <w:color w:val="auto"/>
          <w:sz w:val="28"/>
          <w:szCs w:val="28"/>
          <w:lang w:val="en-US" w:eastAsia="zh-CN"/>
        </w:rPr>
        <w:t>李贞华</w:t>
      </w:r>
    </w:p>
    <w:p>
      <w:pPr>
        <w:spacing w:after="0" w:line="193" w:lineRule="exact"/>
        <w:jc w:val="center"/>
        <w:rPr>
          <w:color w:val="auto"/>
          <w:sz w:val="24"/>
          <w:szCs w:val="24"/>
        </w:rPr>
      </w:pPr>
    </w:p>
    <w:p>
      <w:pPr>
        <w:spacing w:after="0"/>
        <w:ind w:left="560"/>
        <w:jc w:val="center"/>
        <w:rPr>
          <w:rFonts w:hint="eastAsia" w:eastAsia="黑体"/>
          <w:color w:val="auto"/>
          <w:sz w:val="20"/>
          <w:szCs w:val="20"/>
          <w:lang w:val="en-US" w:eastAsia="zh-CN"/>
        </w:rPr>
      </w:pPr>
      <w:r>
        <w:rPr>
          <w:rFonts w:ascii="黑体" w:hAnsi="黑体" w:eastAsia="黑体" w:cs="黑体"/>
          <w:color w:val="auto"/>
          <w:sz w:val="28"/>
          <w:szCs w:val="28"/>
        </w:rPr>
        <w:t>审核：</w:t>
      </w:r>
      <w:r>
        <w:rPr>
          <w:rFonts w:hint="eastAsia" w:ascii="黑体" w:hAnsi="黑体" w:eastAsia="黑体" w:cs="黑体"/>
          <w:color w:val="auto"/>
          <w:sz w:val="28"/>
          <w:szCs w:val="28"/>
          <w:lang w:val="en-US" w:eastAsia="zh-CN"/>
        </w:rPr>
        <w:t>孙怡萍</w:t>
      </w:r>
    </w:p>
    <w:p>
      <w:pPr>
        <w:spacing w:after="0" w:line="194" w:lineRule="exact"/>
        <w:jc w:val="center"/>
        <w:rPr>
          <w:color w:val="auto"/>
          <w:sz w:val="24"/>
          <w:szCs w:val="24"/>
        </w:rPr>
      </w:pPr>
    </w:p>
    <w:p>
      <w:pPr>
        <w:spacing w:after="0"/>
        <w:ind w:left="560"/>
        <w:jc w:val="center"/>
        <w:rPr>
          <w:rFonts w:hint="eastAsia" w:eastAsia="黑体"/>
          <w:color w:val="auto"/>
          <w:sz w:val="20"/>
          <w:szCs w:val="20"/>
          <w:lang w:val="en-US" w:eastAsia="zh-CN"/>
        </w:rPr>
      </w:pPr>
      <w:r>
        <w:rPr>
          <w:rFonts w:ascii="黑体" w:hAnsi="黑体" w:eastAsia="黑体" w:cs="黑体"/>
          <w:color w:val="auto"/>
          <w:sz w:val="28"/>
          <w:szCs w:val="28"/>
        </w:rPr>
        <w:t>批准：</w:t>
      </w:r>
      <w:r>
        <w:rPr>
          <w:rFonts w:hint="eastAsia" w:ascii="黑体" w:hAnsi="黑体" w:eastAsia="黑体" w:cs="黑体"/>
          <w:color w:val="auto"/>
          <w:sz w:val="28"/>
          <w:szCs w:val="28"/>
          <w:lang w:val="en-US" w:eastAsia="zh-CN"/>
        </w:rPr>
        <w:t>周勤勇</w:t>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360" w:lineRule="auto"/>
        <w:rPr>
          <w:rFonts w:ascii="Times New Roman" w:hAnsi="Times New Roman" w:eastAsia="Times New Roman"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ascii="Times New Roman" w:hAnsi="Times New Roman" w:eastAsia="Times New Roman"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ascii="Times New Roman" w:hAnsi="Times New Roman" w:eastAsia="Times New Roman"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ascii="Times New Roman" w:hAnsi="Times New Roman" w:eastAsia="Times New Roman"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ascii="Times New Roman" w:hAnsi="Times New Roman" w:eastAsia="Times New Roman" w:cs="Times New Roman"/>
          <w:color w:val="auto"/>
          <w:sz w:val="28"/>
          <w:szCs w:val="28"/>
        </w:rPr>
      </w:pP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color w:val="auto"/>
          <w:sz w:val="24"/>
          <w:szCs w:val="24"/>
        </w:rPr>
      </w:pPr>
      <w:r>
        <w:rPr>
          <w:color w:val="auto"/>
          <w:sz w:val="24"/>
          <w:szCs w:val="24"/>
        </w:rPr>
        <mc:AlternateContent>
          <mc:Choice Requires="wps">
            <w:drawing>
              <wp:anchor distT="0" distB="0" distL="114300" distR="114300" simplePos="0" relativeHeight="251662336" behindDoc="1" locked="0" layoutInCell="0" allowOverlap="1">
                <wp:simplePos x="0" y="0"/>
                <wp:positionH relativeFrom="column">
                  <wp:posOffset>266065</wp:posOffset>
                </wp:positionH>
                <wp:positionV relativeFrom="paragraph">
                  <wp:posOffset>7620</wp:posOffset>
                </wp:positionV>
                <wp:extent cx="5701665" cy="0"/>
                <wp:effectExtent l="0" t="0" r="0" b="0"/>
                <wp:wrapNone/>
                <wp:docPr id="1" name="Shape 2"/>
                <wp:cNvGraphicFramePr/>
                <a:graphic xmlns:a="http://schemas.openxmlformats.org/drawingml/2006/main">
                  <a:graphicData uri="http://schemas.microsoft.com/office/word/2010/wordprocessingShape">
                    <wps:wsp>
                      <wps:cNvCnPr/>
                      <wps:spPr>
                        <a:xfrm>
                          <a:off x="0" y="0"/>
                          <a:ext cx="5701665" cy="0"/>
                        </a:xfrm>
                        <a:prstGeom prst="line">
                          <a:avLst/>
                        </a:prstGeom>
                        <a:solidFill>
                          <a:srgbClr val="FFFFFF"/>
                        </a:solidFill>
                        <a:ln w="6350" cmpd="sng">
                          <a:solidFill>
                            <a:schemeClr val="tx1"/>
                          </a:solidFill>
                          <a:prstDash val="solid"/>
                          <a:miter lim="800000"/>
                        </a:ln>
                      </wps:spPr>
                      <wps:bodyPr/>
                    </wps:wsp>
                  </a:graphicData>
                </a:graphic>
              </wp:anchor>
            </w:drawing>
          </mc:Choice>
          <mc:Fallback>
            <w:pict>
              <v:line id="Shape 2" o:spid="_x0000_s1026" o:spt="20" style="position:absolute;left:0pt;margin-left:20.95pt;margin-top:0.6pt;height:0pt;width:448.95pt;z-index:-251654144;mso-width-relative:page;mso-height-relative:page;" fillcolor="#FFFFFF" filled="t" stroked="t" coordsize="21600,21600" o:allowincell="f" o:gfxdata="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GhIA99MAAAAGAQAADwAAAAAA&#10;AAABACAAAAAiAAAAZHJzL2Rvd25yZXYueG1sUEsBAhQAFAAAAAgAh07iQGnzJkWmAQAAbAMAAA4A&#10;AAAAAAAAAQAgAAAAIgEAAGRycy9lMm9Eb2MueG1sUEsFBgAAAAAGAAYAWQEAADoFAAAAAA==&#10;">
                <v:fill on="t" focussize="0,0"/>
                <v:stroke weight="0.5pt" color="#000000 [3213]" miterlimit="8" joinstyle="miter"/>
                <v:imagedata o:title=""/>
                <o:lock v:ext="edit" aspectratio="f"/>
              </v:line>
            </w:pict>
          </mc:Fallback>
        </mc:AlternateContent>
      </w:r>
      <w:r>
        <w:rPr>
          <w:rFonts w:hint="eastAsia"/>
          <w:color w:val="auto"/>
          <w:sz w:val="24"/>
          <w:szCs w:val="24"/>
          <w:lang w:val="en-US" w:eastAsia="zh-CN"/>
        </w:rPr>
        <w:t xml:space="preserve">    </w:t>
      </w:r>
      <w:r>
        <w:rPr>
          <w:rFonts w:ascii="Times New Roman" w:hAnsi="Times New Roman" w:eastAsia="Times New Roman" w:cs="Times New Roman"/>
          <w:color w:val="auto"/>
          <w:sz w:val="28"/>
          <w:szCs w:val="28"/>
        </w:rPr>
        <w:t>201</w:t>
      </w:r>
      <w:r>
        <w:rPr>
          <w:rFonts w:hint="eastAsia" w:ascii="Times New Roman" w:hAnsi="Times New Roman" w:eastAsia="宋体" w:cs="Times New Roman"/>
          <w:color w:val="auto"/>
          <w:sz w:val="28"/>
          <w:szCs w:val="28"/>
          <w:lang w:val="en-US" w:eastAsia="zh-CN"/>
        </w:rPr>
        <w:t>8</w:t>
      </w:r>
      <w:r>
        <w:rPr>
          <w:rFonts w:ascii="Times New Roman" w:hAnsi="Times New Roman" w:eastAsia="Times New Roman" w:cs="Times New Roman"/>
          <w:color w:val="auto"/>
          <w:sz w:val="28"/>
          <w:szCs w:val="28"/>
        </w:rPr>
        <w:t xml:space="preserve"> </w:t>
      </w:r>
      <w:r>
        <w:rPr>
          <w:rFonts w:ascii="黑体" w:hAnsi="黑体" w:eastAsia="黑体" w:cs="黑体"/>
          <w:color w:val="auto"/>
          <w:sz w:val="28"/>
          <w:szCs w:val="28"/>
        </w:rPr>
        <w:t>年</w:t>
      </w:r>
      <w:r>
        <w:rPr>
          <w:rFonts w:ascii="Times New Roman" w:hAnsi="Times New Roman" w:eastAsia="Times New Roman" w:cs="Times New Roman"/>
          <w:color w:val="auto"/>
          <w:sz w:val="28"/>
          <w:szCs w:val="28"/>
        </w:rPr>
        <w:t xml:space="preserve"> 0</w:t>
      </w:r>
      <w:r>
        <w:rPr>
          <w:rFonts w:hint="eastAsia" w:ascii="Times New Roman" w:hAnsi="Times New Roman" w:eastAsia="宋体" w:cs="Times New Roman"/>
          <w:color w:val="auto"/>
          <w:sz w:val="28"/>
          <w:szCs w:val="28"/>
          <w:lang w:val="en-US" w:eastAsia="zh-CN"/>
        </w:rPr>
        <w:t>2</w:t>
      </w:r>
      <w:r>
        <w:rPr>
          <w:rFonts w:ascii="Times New Roman" w:hAnsi="Times New Roman" w:eastAsia="Times New Roman" w:cs="Times New Roman"/>
          <w:color w:val="auto"/>
          <w:sz w:val="28"/>
          <w:szCs w:val="28"/>
        </w:rPr>
        <w:t xml:space="preserve"> </w:t>
      </w:r>
      <w:r>
        <w:rPr>
          <w:rFonts w:ascii="黑体" w:hAnsi="黑体" w:eastAsia="黑体" w:cs="黑体"/>
          <w:color w:val="auto"/>
          <w:sz w:val="28"/>
          <w:szCs w:val="28"/>
        </w:rPr>
        <w:t>月</w:t>
      </w:r>
      <w:r>
        <w:rPr>
          <w:rFonts w:ascii="Times New Roman" w:hAnsi="Times New Roman" w:eastAsia="Times New Roman" w:cs="Times New Roman"/>
          <w:color w:val="auto"/>
          <w:sz w:val="28"/>
          <w:szCs w:val="28"/>
        </w:rPr>
        <w:t xml:space="preserve"> </w:t>
      </w:r>
      <w:r>
        <w:rPr>
          <w:rFonts w:hint="eastAsia" w:ascii="Times New Roman" w:hAnsi="Times New Roman" w:eastAsia="宋体" w:cs="Times New Roman"/>
          <w:color w:val="auto"/>
          <w:sz w:val="28"/>
          <w:szCs w:val="28"/>
          <w:lang w:val="en-US" w:eastAsia="zh-CN"/>
        </w:rPr>
        <w:t>01</w:t>
      </w:r>
      <w:r>
        <w:rPr>
          <w:rFonts w:ascii="Times New Roman" w:hAnsi="Times New Roman" w:eastAsia="Times New Roman" w:cs="Times New Roman"/>
          <w:color w:val="auto"/>
          <w:sz w:val="28"/>
          <w:szCs w:val="28"/>
        </w:rPr>
        <w:t xml:space="preserve"> </w:t>
      </w:r>
      <w:r>
        <w:rPr>
          <w:rFonts w:ascii="黑体" w:hAnsi="黑体" w:eastAsia="黑体" w:cs="黑体"/>
          <w:color w:val="auto"/>
          <w:sz w:val="28"/>
          <w:szCs w:val="28"/>
        </w:rPr>
        <w:t>日发布</w:t>
      </w:r>
      <w:r>
        <w:rPr>
          <w:rFonts w:hint="eastAsia" w:ascii="黑体" w:hAnsi="黑体" w:eastAsia="黑体" w:cs="黑体"/>
          <w:color w:val="auto"/>
          <w:sz w:val="28"/>
          <w:szCs w:val="28"/>
          <w:lang w:val="en-US" w:eastAsia="zh-CN"/>
        </w:rPr>
        <w:t xml:space="preserve">                 </w:t>
      </w:r>
      <w:r>
        <w:rPr>
          <w:rFonts w:ascii="Times New Roman" w:hAnsi="Times New Roman" w:eastAsia="Times New Roman" w:cs="Times New Roman"/>
          <w:color w:val="auto"/>
          <w:sz w:val="28"/>
          <w:szCs w:val="28"/>
        </w:rPr>
        <w:t>201</w:t>
      </w:r>
      <w:r>
        <w:rPr>
          <w:rFonts w:hint="eastAsia" w:ascii="Times New Roman" w:hAnsi="Times New Roman" w:eastAsia="宋体" w:cs="Times New Roman"/>
          <w:color w:val="auto"/>
          <w:sz w:val="28"/>
          <w:szCs w:val="28"/>
          <w:lang w:val="en-US" w:eastAsia="zh-CN"/>
        </w:rPr>
        <w:t>8</w:t>
      </w:r>
      <w:r>
        <w:rPr>
          <w:rFonts w:ascii="Times New Roman" w:hAnsi="Times New Roman" w:eastAsia="Times New Roman" w:cs="Times New Roman"/>
          <w:color w:val="auto"/>
          <w:sz w:val="28"/>
          <w:szCs w:val="28"/>
        </w:rPr>
        <w:t xml:space="preserve"> </w:t>
      </w:r>
      <w:r>
        <w:rPr>
          <w:rFonts w:ascii="黑体" w:hAnsi="黑体" w:eastAsia="黑体" w:cs="黑体"/>
          <w:color w:val="auto"/>
          <w:sz w:val="28"/>
          <w:szCs w:val="28"/>
        </w:rPr>
        <w:t>年</w:t>
      </w:r>
      <w:r>
        <w:rPr>
          <w:rFonts w:ascii="Times New Roman" w:hAnsi="Times New Roman" w:eastAsia="Times New Roman" w:cs="Times New Roman"/>
          <w:color w:val="auto"/>
          <w:sz w:val="28"/>
          <w:szCs w:val="28"/>
        </w:rPr>
        <w:t xml:space="preserve"> 0</w:t>
      </w:r>
      <w:r>
        <w:rPr>
          <w:rFonts w:hint="eastAsia" w:ascii="Times New Roman" w:hAnsi="Times New Roman" w:eastAsia="宋体" w:cs="Times New Roman"/>
          <w:color w:val="auto"/>
          <w:sz w:val="28"/>
          <w:szCs w:val="28"/>
          <w:lang w:val="en-US" w:eastAsia="zh-CN"/>
        </w:rPr>
        <w:t>2</w:t>
      </w:r>
      <w:r>
        <w:rPr>
          <w:rFonts w:ascii="Times New Roman" w:hAnsi="Times New Roman" w:eastAsia="Times New Roman" w:cs="Times New Roman"/>
          <w:color w:val="auto"/>
          <w:sz w:val="28"/>
          <w:szCs w:val="28"/>
        </w:rPr>
        <w:t xml:space="preserve"> </w:t>
      </w:r>
      <w:r>
        <w:rPr>
          <w:rFonts w:ascii="黑体" w:hAnsi="黑体" w:eastAsia="黑体" w:cs="黑体"/>
          <w:color w:val="auto"/>
          <w:sz w:val="28"/>
          <w:szCs w:val="28"/>
        </w:rPr>
        <w:t>月</w:t>
      </w:r>
      <w:r>
        <w:rPr>
          <w:rFonts w:ascii="Times New Roman" w:hAnsi="Times New Roman" w:eastAsia="Times New Roman" w:cs="Times New Roman"/>
          <w:color w:val="auto"/>
          <w:sz w:val="28"/>
          <w:szCs w:val="28"/>
        </w:rPr>
        <w:t xml:space="preserve"> </w:t>
      </w:r>
      <w:r>
        <w:rPr>
          <w:rFonts w:hint="eastAsia" w:ascii="Times New Roman" w:hAnsi="Times New Roman" w:eastAsia="宋体" w:cs="Times New Roman"/>
          <w:color w:val="auto"/>
          <w:sz w:val="28"/>
          <w:szCs w:val="28"/>
          <w:lang w:val="en-US" w:eastAsia="zh-CN"/>
        </w:rPr>
        <w:t>01</w:t>
      </w:r>
      <w:r>
        <w:rPr>
          <w:rFonts w:ascii="Times New Roman" w:hAnsi="Times New Roman" w:eastAsia="Times New Roman" w:cs="Times New Roman"/>
          <w:color w:val="auto"/>
          <w:sz w:val="28"/>
          <w:szCs w:val="28"/>
        </w:rPr>
        <w:t xml:space="preserve"> </w:t>
      </w:r>
      <w:r>
        <w:rPr>
          <w:rFonts w:ascii="黑体" w:hAnsi="黑体" w:eastAsia="黑体" w:cs="黑体"/>
          <w:color w:val="auto"/>
          <w:sz w:val="28"/>
          <w:szCs w:val="28"/>
        </w:rPr>
        <w:t>日</w:t>
      </w:r>
      <w:r>
        <w:rPr>
          <w:rFonts w:hint="eastAsia" w:ascii="黑体" w:hAnsi="黑体" w:eastAsia="黑体" w:cs="黑体"/>
          <w:color w:val="auto"/>
          <w:sz w:val="28"/>
          <w:szCs w:val="28"/>
          <w:lang w:val="en-US" w:eastAsia="zh-CN"/>
        </w:rPr>
        <w:t>实施</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1 目的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为规范特殊审核流程、确保特殊审核的充分性和有效性，制定本规定。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2 适用范围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此文件适用于扩大认证范围审核、调查投诉审核、证书变更审核、暂停恢复审核等提前较短时间通知获证客户后或不通知获证客户情况。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 职责</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3．1 </w:t>
      </w:r>
      <w:r>
        <w:rPr>
          <w:rFonts w:hint="eastAsia" w:asciiTheme="minorEastAsia" w:hAnsiTheme="minorEastAsia" w:cstheme="minorEastAsia"/>
          <w:color w:val="auto"/>
          <w:sz w:val="24"/>
          <w:szCs w:val="24"/>
          <w:lang w:val="en-US" w:eastAsia="zh-CN"/>
        </w:rPr>
        <w:t>认证管理</w:t>
      </w:r>
      <w:r>
        <w:rPr>
          <w:rFonts w:hint="eastAsia" w:asciiTheme="minorEastAsia" w:hAnsiTheme="minorEastAsia" w:eastAsiaTheme="minorEastAsia" w:cstheme="minorEastAsia"/>
          <w:color w:val="auto"/>
          <w:sz w:val="24"/>
          <w:szCs w:val="24"/>
        </w:rPr>
        <w:t>部负责特殊审核项目的评审、策划并组织实施；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 认证决定人员负责对特殊审核项目做出认证决定；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 作业规定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4．1 扩大认证范围审核策划</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4.1.1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对于已获认证证书企业，如提出扩大认证范围，需提交扩项申请，由客户服务部受理，由</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进行申请评审，评审要求同初审；</w:t>
      </w:r>
    </w:p>
    <w:p>
      <w:pPr>
        <w:keepNext w:val="0"/>
        <w:keepLines w:val="0"/>
        <w:pageBreakBefore w:val="0"/>
        <w:widowControl/>
        <w:numPr>
          <w:ilvl w:val="0"/>
          <w:numId w:val="1"/>
        </w:numPr>
        <w:tabs>
          <w:tab w:val="left" w:pos="1405"/>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项目管理人员策划扩项审核方案，扩项审核原则上按初审实施，但可根据扩项内容与原认证范围的差异性识别确认是否需进行一阶段审核；如差异性不大，可省略一阶段审核，但文件审核仍需实施。如差异性较大，仍需进行一阶段审核；审核具体实施完全同初审，考虑到职能部门的通用性可适当减少审核人日数，一般审核人日不少于初审的三分之二；</w:t>
      </w:r>
    </w:p>
    <w:p>
      <w:pPr>
        <w:keepNext w:val="0"/>
        <w:keepLines w:val="0"/>
        <w:pageBreakBefore w:val="0"/>
        <w:widowControl/>
        <w:numPr>
          <w:ilvl w:val="0"/>
          <w:numId w:val="1"/>
        </w:numPr>
        <w:tabs>
          <w:tab w:val="left" w:pos="1371"/>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扩项审核与监督审核/再认证审核或其它审核同时进行，则需结合策划：扩项部分按初审计算审核人日，其它审核按相应规定单独计算出所需审核人日，再考虑二者的相同内容所需审核时间，前两者之和减去相同内容所需时间即为结合审核时间，但要记录删减人日的理由。审核记录中需关注范围变更后对环境因素、危险源的识别和评价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4.1.4 扩大认证范围的审核计划应满足以下要求：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4.1.4.1 应重点针对与扩大事项有关的部门、产品、活动、地域、场所 安排计划。同时还应考虑扩大部分与相关活动的审核安排。</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4.1.4.</w:t>
      </w:r>
      <w:r>
        <w:rPr>
          <w:rFonts w:hint="eastAsia" w:asciiTheme="minorEastAsia" w:hAnsi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rPr>
        <w:t>扩大认证范围的审核计划可以单独编制，也可与监督审核计划 同时编制。在与监督审核计划同时编制时，应进行全面策划，满足两方面 审核的目的。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4.1.4.</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其它内容执行《审核方案策划和审核实施控制程序》。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 提前较短时间通知的审核</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4.2.1 调查投诉时审核安排：</w:t>
      </w:r>
    </w:p>
    <w:p>
      <w:pPr>
        <w:keepNext w:val="0"/>
        <w:keepLines w:val="0"/>
        <w:pageBreakBefore w:val="0"/>
        <w:widowControl/>
        <w:numPr>
          <w:ilvl w:val="1"/>
          <w:numId w:val="2"/>
        </w:numPr>
        <w:tabs>
          <w:tab w:val="left" w:pos="1685"/>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w:t>
      </w:r>
      <w:r>
        <w:rPr>
          <w:rFonts w:hint="eastAsia" w:asciiTheme="minorEastAsia" w:hAnsiTheme="minorEastAsia" w:cstheme="minorEastAsia"/>
          <w:color w:val="auto"/>
          <w:sz w:val="24"/>
          <w:szCs w:val="24"/>
          <w:lang w:val="en-US" w:eastAsia="zh-CN"/>
        </w:rPr>
        <w:t>认证</w:t>
      </w:r>
      <w:r>
        <w:rPr>
          <w:rFonts w:hint="eastAsia" w:asciiTheme="minorEastAsia" w:hAnsiTheme="minorEastAsia" w:cstheme="minorEastAsia"/>
          <w:color w:val="auto"/>
          <w:sz w:val="24"/>
          <w:szCs w:val="24"/>
          <w:lang w:eastAsia="zh-CN"/>
        </w:rPr>
        <w:t>管理部</w:t>
      </w:r>
      <w:r>
        <w:rPr>
          <w:rFonts w:hint="eastAsia" w:asciiTheme="minorEastAsia" w:hAnsiTheme="minorEastAsia" w:eastAsiaTheme="minorEastAsia" w:cstheme="minorEastAsia"/>
          <w:color w:val="auto"/>
          <w:sz w:val="24"/>
          <w:szCs w:val="24"/>
        </w:rPr>
        <w:t>根据投诉情况做出是否需现场审核的决定及是否需要与客户沟通；可能需要对获证客户提前进行审核。通常是指那些在认证有效性可能遇到质疑时进行审核的情况。</w:t>
      </w:r>
    </w:p>
    <w:p>
      <w:pPr>
        <w:keepNext w:val="0"/>
        <w:keepLines w:val="0"/>
        <w:pageBreakBefore w:val="0"/>
        <w:widowControl/>
        <w:numPr>
          <w:ilvl w:val="1"/>
          <w:numId w:val="2"/>
        </w:numPr>
        <w:tabs>
          <w:tab w:val="left" w:pos="161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w:t>
      </w:r>
      <w:r>
        <w:rPr>
          <w:rFonts w:hint="eastAsia" w:asciiTheme="minorEastAsia" w:hAnsiTheme="minorEastAsia" w:cstheme="minorEastAsia"/>
          <w:color w:val="auto"/>
          <w:sz w:val="24"/>
          <w:szCs w:val="24"/>
          <w:lang w:val="en-US" w:eastAsia="zh-CN"/>
        </w:rPr>
        <w:t>认证</w:t>
      </w:r>
      <w:r>
        <w:rPr>
          <w:rFonts w:hint="eastAsia" w:asciiTheme="minorEastAsia" w:hAnsiTheme="minorEastAsia" w:cstheme="minorEastAsia"/>
          <w:color w:val="auto"/>
          <w:sz w:val="24"/>
          <w:szCs w:val="24"/>
          <w:lang w:eastAsia="zh-CN"/>
        </w:rPr>
        <w:t>管理部</w:t>
      </w:r>
      <w:r>
        <w:rPr>
          <w:rFonts w:hint="eastAsia" w:asciiTheme="minorEastAsia" w:hAnsiTheme="minorEastAsia" w:eastAsiaTheme="minorEastAsia" w:cstheme="minorEastAsia"/>
          <w:color w:val="auto"/>
          <w:sz w:val="24"/>
          <w:szCs w:val="24"/>
        </w:rPr>
        <w:t>做出现场调查取证的决定，则由</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做出现场取证策划，指定组长，组成审核组，确定审核时间，并明确审核内容；</w:t>
      </w:r>
    </w:p>
    <w:p>
      <w:pPr>
        <w:keepNext w:val="0"/>
        <w:keepLines w:val="0"/>
        <w:pageBreakBefore w:val="0"/>
        <w:widowControl/>
        <w:numPr>
          <w:ilvl w:val="1"/>
          <w:numId w:val="2"/>
        </w:numPr>
        <w:tabs>
          <w:tab w:val="left" w:pos="161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提前时间的审核计划根据调查内容、明确提前审核的目的和理由，组长参照监督审核计划编制调查审核计划，并负责与受调查方联系与沟通。</w:t>
      </w:r>
    </w:p>
    <w:p>
      <w:pPr>
        <w:keepNext w:val="0"/>
        <w:keepLines w:val="0"/>
        <w:pageBreakBefore w:val="0"/>
        <w:widowControl/>
        <w:numPr>
          <w:ilvl w:val="0"/>
          <w:numId w:val="0"/>
        </w:numPr>
        <w:tabs>
          <w:tab w:val="left" w:pos="1821"/>
        </w:tabs>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4.2.1.4  </w:t>
      </w:r>
      <w:r>
        <w:rPr>
          <w:rFonts w:hint="eastAsia" w:asciiTheme="minorEastAsia" w:hAnsiTheme="minorEastAsia" w:eastAsiaTheme="minorEastAsia" w:cstheme="minorEastAsia"/>
          <w:color w:val="auto"/>
          <w:sz w:val="24"/>
          <w:szCs w:val="24"/>
        </w:rPr>
        <w:t>审核组长应在规定的时间内，提交调查报告及相关证据交质 量技术部评审。</w:t>
      </w:r>
    </w:p>
    <w:p>
      <w:pPr>
        <w:keepNext w:val="0"/>
        <w:keepLines w:val="0"/>
        <w:pageBreakBefore w:val="0"/>
        <w:widowControl/>
        <w:numPr>
          <w:ilvl w:val="0"/>
          <w:numId w:val="0"/>
        </w:numPr>
        <w:tabs>
          <w:tab w:val="left" w:pos="1825"/>
        </w:tabs>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 xml:space="preserve">4.2.1.5  </w:t>
      </w:r>
      <w:r>
        <w:rPr>
          <w:rFonts w:hint="eastAsia" w:asciiTheme="minorEastAsia" w:hAnsiTheme="minorEastAsia" w:eastAsiaTheme="minorEastAsia" w:cstheme="minorEastAsia"/>
          <w:color w:val="auto"/>
          <w:sz w:val="24"/>
          <w:szCs w:val="24"/>
        </w:rPr>
        <w:t>对于事前不通知客户的提前审核,由于客户缺乏对审核组成员的任命表示反对的机会，</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在指派审核组时给予更多的关注。</w:t>
      </w:r>
    </w:p>
    <w:p>
      <w:pPr>
        <w:keepNext w:val="0"/>
        <w:keepLines w:val="0"/>
        <w:pageBreakBefore w:val="0"/>
        <w:widowControl/>
        <w:numPr>
          <w:ilvl w:val="0"/>
          <w:numId w:val="3"/>
        </w:numPr>
        <w:tabs>
          <w:tab w:val="left" w:pos="1401"/>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获证组织变更处理安排 </w:t>
      </w:r>
    </w:p>
    <w:p>
      <w:pPr>
        <w:keepNext w:val="0"/>
        <w:keepLines w:val="0"/>
        <w:pageBreakBefore w:val="0"/>
        <w:widowControl/>
        <w:numPr>
          <w:ilvl w:val="0"/>
          <w:numId w:val="0"/>
        </w:numPr>
        <w:tabs>
          <w:tab w:val="left" w:pos="1401"/>
        </w:tabs>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w:t>
      </w:r>
      <w:r>
        <w:rPr>
          <w:rFonts w:hint="eastAsia" w:asciiTheme="minorEastAsia" w:hAnsiTheme="minorEastAsia" w:cstheme="minorEastAsia"/>
          <w:color w:val="auto"/>
          <w:sz w:val="24"/>
          <w:szCs w:val="24"/>
          <w:lang w:val="en-US" w:eastAsia="zh-CN"/>
        </w:rPr>
        <w:t>认证管理</w:t>
      </w:r>
      <w:r>
        <w:rPr>
          <w:rFonts w:hint="eastAsia" w:asciiTheme="minorEastAsia" w:hAnsiTheme="minorEastAsia" w:eastAsiaTheme="minorEastAsia" w:cstheme="minorEastAsia"/>
          <w:color w:val="auto"/>
          <w:sz w:val="24"/>
          <w:szCs w:val="24"/>
        </w:rPr>
        <w:t>部负责受理获证组织证书变更申请，申请评审人员首先评审变化对组织管理体系的影响程度以及公司所承担的认证风险程度，再提出进行变更的方式，报</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批准后实施。通常情况下需要提交的资料：</w:t>
      </w:r>
    </w:p>
    <w:p>
      <w:pPr>
        <w:keepNext w:val="0"/>
        <w:keepLines w:val="0"/>
        <w:pageBreakBefore w:val="0"/>
        <w:widowControl/>
        <w:numPr>
          <w:ilvl w:val="0"/>
          <w:numId w:val="4"/>
        </w:numPr>
        <w:tabs>
          <w:tab w:val="left" w:pos="161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组织名称变更：需提供相应工商管理部门出具的“变更核准通 知书”或相应的名称变更证明文件，或者新名称的营业执照，经申请评审人员确认有效后由客户服务部负责实施证书变更。</w:t>
      </w:r>
    </w:p>
    <w:p>
      <w:pPr>
        <w:keepNext w:val="0"/>
        <w:keepLines w:val="0"/>
        <w:pageBreakBefore w:val="0"/>
        <w:widowControl/>
        <w:numPr>
          <w:ilvl w:val="0"/>
          <w:numId w:val="4"/>
        </w:numPr>
        <w:tabs>
          <w:tab w:val="left" w:pos="161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新组建注册的组织：在原组织的基础上因改革等原因而重新组建并注册新的组织名称而要求变更名称时，申请评审人员应充分了解组织的变化情况，调查获取相应的证据，由项目管理人员分析组织的变化给管理体系运行带来的影响，并做出是否需进行现场审核的决定，此类更名通常需要进行现场审核，现场审核应是一次正式的审核安排，由</w:t>
      </w:r>
      <w:r>
        <w:rPr>
          <w:rFonts w:hint="eastAsia" w:asciiTheme="minorEastAsia" w:hAnsiTheme="minorEastAsia" w:cstheme="minorEastAsia"/>
          <w:color w:val="auto"/>
          <w:sz w:val="24"/>
          <w:szCs w:val="24"/>
          <w:lang w:val="en-US" w:eastAsia="zh-CN"/>
        </w:rPr>
        <w:t>认证</w:t>
      </w:r>
      <w:r>
        <w:rPr>
          <w:rFonts w:hint="eastAsia" w:asciiTheme="minorEastAsia" w:hAnsiTheme="minorEastAsia" w:eastAsiaTheme="minorEastAsia" w:cstheme="minorEastAsia"/>
          <w:color w:val="auto"/>
          <w:sz w:val="24"/>
          <w:szCs w:val="24"/>
        </w:rPr>
        <w:t>管理部负责策划，适当时可与年度监督审核结合实施，审核组获取变更后体系有效运行的证据，并确认申请方所提供资料的真实性。由</w:t>
      </w:r>
      <w:r>
        <w:rPr>
          <w:rFonts w:hint="eastAsia" w:asciiTheme="minorEastAsia" w:hAnsiTheme="minorEastAsia" w:cstheme="minorEastAsia"/>
          <w:color w:val="auto"/>
          <w:sz w:val="24"/>
          <w:szCs w:val="24"/>
          <w:lang w:val="en-US" w:eastAsia="zh-CN"/>
        </w:rPr>
        <w:t>认证决定人员</w:t>
      </w:r>
      <w:r>
        <w:rPr>
          <w:rFonts w:hint="eastAsia" w:asciiTheme="minorEastAsia" w:hAnsiTheme="minorEastAsia" w:eastAsiaTheme="minorEastAsia" w:cstheme="minorEastAsia"/>
          <w:color w:val="auto"/>
          <w:sz w:val="24"/>
          <w:szCs w:val="24"/>
        </w:rPr>
        <w:t>做出可否换发证书决定。需要提交的资料应包括：变更申请及组织的详细变化情况说明、新名称成立的审批文件、营业执照、相应的资质证明文件（适用时）、审核组审核记录和审核结论。</w:t>
      </w:r>
    </w:p>
    <w:p>
      <w:pPr>
        <w:keepNext w:val="0"/>
        <w:keepLines w:val="0"/>
        <w:pageBreakBefore w:val="0"/>
        <w:widowControl/>
        <w:numPr>
          <w:ilvl w:val="0"/>
          <w:numId w:val="4"/>
        </w:numPr>
        <w:tabs>
          <w:tab w:val="left" w:pos="161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地址名称变更：提供相应的证明文件和申请文件，经申请评审人员确认有效后，由客户服务部实施证书变更。</w:t>
      </w:r>
    </w:p>
    <w:p>
      <w:pPr>
        <w:keepNext w:val="0"/>
        <w:keepLines w:val="0"/>
        <w:pageBreakBefore w:val="0"/>
        <w:widowControl/>
        <w:numPr>
          <w:ilvl w:val="0"/>
          <w:numId w:val="4"/>
        </w:numPr>
        <w:tabs>
          <w:tab w:val="left" w:pos="161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地址变更：即组织搬迁，对于管理性、只有办公场所的组织可直接提交申请评审后换证。</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型组织必须进行现场审核，如与监督审核同时进行，应根据具体情况适当增加现场审核人天数，并在审核策划时根据变化的情况做出合理安排，审核报告中应对组织的变化情况及管理体系的运行情况进行评价，其他要求执行《审核方案策划和审核实施控制程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果办公地址与生产地址一致，可与监督审核同时进行审核，如针对地址变更的特殊情况需要对现场进行审核；如果办公地址与生产地址不一致，可以与监督审核一起安排审核，如果注册地址为原办公地址，一般情况下可不用去现场审核。</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4.2.3 获证组织被暂停进行追踪时的审核策划安排</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4.2.3.1 因严重不合格项暂停的 如由审核组开出严重不合格项做出暂停结论的客户，由审核组长负责跟踪验证暂停组织的整改进度和结果，如暂停期内，受审核方提出恢复申请，由</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负责评审其整改资料的有效性，并策划恢复审核方案，原则上仍由原审核组成员负责恢复审核，主要内容针对严重不合格项整改 有效性进行现场验证，一般人日安排0.5-1 人日；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bookmarkStart w:id="0" w:name="_GoBack"/>
      <w:r>
        <w:rPr>
          <w:rFonts w:hint="eastAsia" w:asciiTheme="minorEastAsia" w:hAnsiTheme="minorEastAsia" w:eastAsiaTheme="minorEastAsia" w:cstheme="minorEastAsia"/>
          <w:color w:val="auto"/>
          <w:sz w:val="24"/>
          <w:szCs w:val="24"/>
        </w:rPr>
        <w:t>4.2.3.2 因体系发生重大变化或发生重大质量/环境/安全事故或相关方严重投诉时或有其它违法违规现象导致暂停的；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如由于获证组织的质量/环境/职业健康安全管理体系发生重大变化或发生重大质量/环境/安全事故或相关方严重投诉时或有其它违法违规现象导致暂停时：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①由</w:t>
      </w:r>
      <w:r>
        <w:rPr>
          <w:rFonts w:hint="eastAsia" w:asciiTheme="minorEastAsia" w:hAnsiTheme="minorEastAsia" w:cstheme="minorEastAsia"/>
          <w:color w:val="auto"/>
          <w:sz w:val="24"/>
          <w:szCs w:val="24"/>
          <w:lang w:val="en-US" w:eastAsia="zh-CN"/>
        </w:rPr>
        <w:t>认证管理部</w:t>
      </w:r>
      <w:r>
        <w:rPr>
          <w:rFonts w:hint="eastAsia" w:asciiTheme="minorEastAsia" w:hAnsiTheme="minorEastAsia" w:eastAsiaTheme="minorEastAsia" w:cstheme="minorEastAsia"/>
          <w:color w:val="auto"/>
          <w:sz w:val="24"/>
          <w:szCs w:val="24"/>
        </w:rPr>
        <w:t>负责跟踪暂停客户的恢复情况,在暂停期内,客户提出恢复证书时,需进行现场审核,</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负责审核方案策划,应就暂停原因进行不同关注点的审核,如体系变化可按监督审核、再认证审核或初次审核实施，但具体审核人日可根据实际情况适当增减；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②如因事故导致暂停恢复审核策划则必须是围绕事故相关的部门、过程和活动进行审核策划，其审核证据应能证明受审核方确实有效整改，可防止再发生类似问题，审核档案经</w:t>
      </w:r>
      <w:r>
        <w:rPr>
          <w:rFonts w:hint="eastAsia" w:asciiTheme="minorEastAsia" w:hAnsiTheme="minorEastAsia" w:cstheme="minorEastAsia"/>
          <w:color w:val="auto"/>
          <w:sz w:val="24"/>
          <w:szCs w:val="24"/>
          <w:lang w:val="en-US" w:eastAsia="zh-CN"/>
        </w:rPr>
        <w:t>认证</w:t>
      </w:r>
      <w:r>
        <w:rPr>
          <w:rFonts w:hint="eastAsia" w:asciiTheme="minorEastAsia" w:hAnsiTheme="minorEastAsia" w:cstheme="minorEastAsia"/>
          <w:color w:val="auto"/>
          <w:sz w:val="24"/>
          <w:szCs w:val="24"/>
          <w:lang w:eastAsia="zh-CN"/>
        </w:rPr>
        <w:t>管理部</w:t>
      </w:r>
      <w:r>
        <w:rPr>
          <w:rFonts w:hint="eastAsia" w:asciiTheme="minorEastAsia" w:hAnsiTheme="minorEastAsia" w:eastAsiaTheme="minorEastAsia" w:cstheme="minorEastAsia"/>
          <w:color w:val="auto"/>
          <w:sz w:val="24"/>
          <w:szCs w:val="24"/>
        </w:rPr>
        <w:t>评价决定方可恢复。</w:t>
      </w:r>
    </w:p>
    <w:bookmarkEnd w:id="0"/>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4.2.3.3 因受审核方不能按期接受监督审核导致暂停的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如因受审核方不能按期接受监督审核导致暂停的，在暂停期内，受审核方应提出“暂停恢复”审核申请，客户服务部受理人员填写《获证组织申请“暂停恢复”审核审批表》，经客户服务部负责人确认后报</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进行“暂停恢复”评审，并进行审核安排，</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在策划审核时，可与监督审核或再认证审核同时进行。如在暂停期间体系有重大变化，获证方应填写《认证信息变更申请表》报中心客户服务部，客户服务部作为《获证组织申请“暂停恢复”审核审批表》的附件交</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认证管理部</w:t>
      </w:r>
      <w:r>
        <w:rPr>
          <w:rFonts w:hint="eastAsia" w:asciiTheme="minorEastAsia" w:hAnsiTheme="minorEastAsia" w:eastAsiaTheme="minorEastAsia" w:cstheme="minorEastAsia"/>
          <w:color w:val="auto"/>
          <w:sz w:val="24"/>
          <w:szCs w:val="24"/>
        </w:rPr>
        <w:t>进行评审，需要时审核方案策划应根据变化内容适当增加审核人日,并在审核任务书备注栏中说明变化内容，审核组长对“变化部分”涉及审核领域标准条款的应纳入审核计划中，并对暂停期间标志、证书及认证资格宣传情况进行审核。</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在暂停期间体系发生重大缺陷，可全条款审核；不是因体系重大缺陷的，而是由于体系局部原因，或未按期缴纳监督费用，就不用全条款审核，应区别开。需要时“暂停恢复”按全条款审核应由审核方案策划来识别，作出明确规定。</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上述审核的具体过程执行《审核方案策划和审核实施控制程序》，但在指派审核组时要特别关注公正性。</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 支持性表格</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5．1《获证组织申请“暂停恢复审核”审批表》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5．2《认证信息变更申请表》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5．3《认证项目管理流程表》</w:t>
      </w:r>
    </w:p>
    <w:p>
      <w:pPr>
        <w:spacing w:after="0" w:line="200" w:lineRule="exact"/>
        <w:rPr>
          <w:color w:val="auto"/>
          <w:sz w:val="24"/>
          <w:szCs w:val="24"/>
        </w:rPr>
      </w:pPr>
    </w:p>
    <w:p>
      <w:pPr>
        <w:spacing w:after="0" w:line="200" w:lineRule="exact"/>
        <w:rPr>
          <w:color w:val="auto"/>
          <w:sz w:val="20"/>
          <w:szCs w:val="20"/>
        </w:rPr>
      </w:pPr>
    </w:p>
    <w:p>
      <w:pPr>
        <w:spacing w:after="0" w:line="378" w:lineRule="auto"/>
        <w:ind w:left="560"/>
        <w:rPr>
          <w:color w:val="auto"/>
          <w:sz w:val="20"/>
          <w:szCs w:val="20"/>
        </w:rPr>
      </w:pPr>
    </w:p>
    <w:p>
      <w:pPr>
        <w:spacing w:after="0"/>
        <w:ind w:left="560"/>
        <w:rPr>
          <w:color w:val="auto"/>
          <w:sz w:val="20"/>
          <w:szCs w:val="20"/>
        </w:rPr>
      </w:pPr>
    </w:p>
    <w:p>
      <w:pPr>
        <w:spacing w:after="0"/>
        <w:rPr>
          <w:color w:val="auto"/>
          <w:sz w:val="20"/>
          <w:szCs w:val="20"/>
        </w:rPr>
      </w:pPr>
    </w:p>
    <w:p>
      <w:pPr>
        <w:jc w:val="left"/>
        <w:rPr>
          <w:rFonts w:asciiTheme="minorHAnsi" w:hAnsiTheme="minorHAnsi" w:eastAsiaTheme="minorEastAsia" w:cstheme="minorBidi"/>
          <w:color w:val="auto"/>
          <w:sz w:val="24"/>
          <w:szCs w:val="24"/>
        </w:rPr>
      </w:pPr>
    </w:p>
    <w:sectPr>
      <w:headerReference r:id="rId3" w:type="default"/>
      <w:footerReference r:id="rId4" w:type="default"/>
      <w:pgSz w:w="11906" w:h="16838"/>
      <w:pgMar w:top="1157" w:right="839" w:bottom="816" w:left="1066" w:header="454" w:footer="45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eastAsia" w:eastAsiaTheme="minorEastAsia"/>
        <w:sz w:val="21"/>
        <w:szCs w:val="21"/>
        <w:lang w:val="en-US" w:eastAsia="zh-CN"/>
      </w:rPr>
    </w:pPr>
    <w:r>
      <w:rPr>
        <w:rFonts w:hint="eastAsia"/>
        <w:sz w:val="21"/>
        <w:szCs w:val="21"/>
        <w:lang w:val="en-US" w:eastAsia="zh-CN"/>
      </w:rPr>
      <w:t>中标华远（北京）认证中心有限公司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multilevel"/>
    <w:tmpl w:val="00002CD6"/>
    <w:lvl w:ilvl="0" w:tentative="0">
      <w:start w:val="2"/>
      <w:numFmt w:val="decimal"/>
      <w:lvlText w:val="4.2.%1"/>
      <w:lvlJc w:val="left"/>
    </w:lvl>
    <w:lvl w:ilvl="1" w:tentative="0">
      <w:start w:val="1"/>
      <w:numFmt w:val="decimal"/>
      <w:lvlText w:val="%2"/>
      <w:lvlJc w:val="left"/>
    </w:lvl>
    <w:lvl w:ilvl="2" w:tentative="0">
      <w:start w:val="1"/>
      <w:numFmt w:val="decimal"/>
      <w:lvlText w:val="%3"/>
      <w:lvlJc w:val="left"/>
    </w:lvl>
  </w:abstractNum>
  <w:abstractNum w:abstractNumId="1">
    <w:nsid w:val="00003D6C"/>
    <w:multiLevelType w:val="multilevel"/>
    <w:tmpl w:val="00003D6C"/>
    <w:lvl w:ilvl="0" w:tentative="0">
      <w:start w:val="1"/>
      <w:numFmt w:val="decimal"/>
      <w:lvlText w:val="%1"/>
      <w:lvlJc w:val="left"/>
    </w:lvl>
    <w:lvl w:ilvl="1" w:tentative="0">
      <w:start w:val="1"/>
      <w:numFmt w:val="decimal"/>
      <w:lvlText w:val="4.2.1.%2"/>
      <w:lvlJc w:val="left"/>
    </w:lvl>
    <w:lvl w:ilvl="2" w:tentative="0">
      <w:start w:val="4"/>
      <w:numFmt w:val="decimal"/>
      <w:lvlText w:val="4.2.1.%3"/>
      <w:lvlJc w:val="left"/>
    </w:lvl>
  </w:abstractNum>
  <w:abstractNum w:abstractNumId="2">
    <w:nsid w:val="00004AE1"/>
    <w:multiLevelType w:val="singleLevel"/>
    <w:tmpl w:val="00004AE1"/>
    <w:lvl w:ilvl="0" w:tentative="0">
      <w:start w:val="2"/>
      <w:numFmt w:val="decimal"/>
      <w:lvlText w:val="4.1.%1"/>
      <w:lvlJc w:val="left"/>
    </w:lvl>
  </w:abstractNum>
  <w:abstractNum w:abstractNumId="3">
    <w:nsid w:val="000072AE"/>
    <w:multiLevelType w:val="singleLevel"/>
    <w:tmpl w:val="000072AE"/>
    <w:lvl w:ilvl="0" w:tentative="0">
      <w:start w:val="1"/>
      <w:numFmt w:val="decimal"/>
      <w:lvlText w:val="4.2.2.%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65B8B"/>
    <w:rsid w:val="0F54739A"/>
    <w:rsid w:val="31A966B7"/>
    <w:rsid w:val="32F46290"/>
    <w:rsid w:val="40076619"/>
    <w:rsid w:val="406F5D52"/>
    <w:rsid w:val="760C4D5E"/>
    <w:rsid w:val="78976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1</cp:lastModifiedBy>
  <dcterms:modified xsi:type="dcterms:W3CDTF">2018-05-28T04:11:28Z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